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3E0C" w14:textId="77777777" w:rsidR="00E96823" w:rsidRDefault="006C6A2A">
      <w:pPr>
        <w:spacing w:after="40"/>
        <w:ind w:left="10" w:right="-2"/>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6648007" wp14:editId="68906CAC">
                <wp:simplePos x="0" y="0"/>
                <wp:positionH relativeFrom="column">
                  <wp:posOffset>-219074</wp:posOffset>
                </wp:positionH>
                <wp:positionV relativeFrom="paragraph">
                  <wp:posOffset>-699330</wp:posOffset>
                </wp:positionV>
                <wp:extent cx="2671953" cy="1400699"/>
                <wp:effectExtent l="0" t="0" r="0" b="0"/>
                <wp:wrapSquare wrapText="bothSides"/>
                <wp:docPr id="2696" name="Group 2696"/>
                <wp:cNvGraphicFramePr/>
                <a:graphic xmlns:a="http://schemas.openxmlformats.org/drawingml/2006/main">
                  <a:graphicData uri="http://schemas.microsoft.com/office/word/2010/wordprocessingGroup">
                    <wpg:wgp>
                      <wpg:cNvGrpSpPr/>
                      <wpg:grpSpPr>
                        <a:xfrm>
                          <a:off x="0" y="0"/>
                          <a:ext cx="2671953" cy="1400699"/>
                          <a:chOff x="0" y="0"/>
                          <a:chExt cx="2671953" cy="1400699"/>
                        </a:xfrm>
                      </wpg:grpSpPr>
                      <pic:pic xmlns:pic="http://schemas.openxmlformats.org/drawingml/2006/picture">
                        <pic:nvPicPr>
                          <pic:cNvPr id="84" name="Picture 84"/>
                          <pic:cNvPicPr/>
                        </pic:nvPicPr>
                        <pic:blipFill>
                          <a:blip r:embed="rId4"/>
                          <a:stretch>
                            <a:fillRect/>
                          </a:stretch>
                        </pic:blipFill>
                        <pic:spPr>
                          <a:xfrm>
                            <a:off x="0" y="181499"/>
                            <a:ext cx="1219200" cy="1219200"/>
                          </a:xfrm>
                          <a:prstGeom prst="rect">
                            <a:avLst/>
                          </a:prstGeom>
                        </pic:spPr>
                      </pic:pic>
                      <pic:pic xmlns:pic="http://schemas.openxmlformats.org/drawingml/2006/picture">
                        <pic:nvPicPr>
                          <pic:cNvPr id="480" name="Picture 480"/>
                          <pic:cNvPicPr/>
                        </pic:nvPicPr>
                        <pic:blipFill>
                          <a:blip r:embed="rId5"/>
                          <a:stretch>
                            <a:fillRect/>
                          </a:stretch>
                        </pic:blipFill>
                        <pic:spPr>
                          <a:xfrm>
                            <a:off x="1233297" y="0"/>
                            <a:ext cx="1438656" cy="609600"/>
                          </a:xfrm>
                          <a:prstGeom prst="rect">
                            <a:avLst/>
                          </a:prstGeom>
                        </pic:spPr>
                      </pic:pic>
                    </wpg:wgp>
                  </a:graphicData>
                </a:graphic>
              </wp:anchor>
            </w:drawing>
          </mc:Choice>
          <mc:Fallback xmlns:a="http://schemas.openxmlformats.org/drawingml/2006/main">
            <w:pict>
              <v:group id="Group 2696" style="width:210.39pt;height:110.291pt;position:absolute;mso-position-horizontal-relative:text;mso-position-horizontal:absolute;margin-left:-17.25pt;mso-position-vertical-relative:text;margin-top:-55.0654pt;" coordsize="26719,14006">
                <v:shape id="Picture 84" style="position:absolute;width:12192;height:12192;left:0;top:1814;" filled="f">
                  <v:imagedata r:id="rId6"/>
                </v:shape>
                <v:shape id="Picture 480" style="position:absolute;width:14386;height:6096;left:12332;top:0;" filled="f">
                  <v:imagedata r:id="rId7"/>
                </v:shape>
                <w10:wrap type="square"/>
              </v:group>
            </w:pict>
          </mc:Fallback>
        </mc:AlternateContent>
      </w:r>
      <w:r>
        <w:rPr>
          <w:noProof/>
        </w:rPr>
        <w:drawing>
          <wp:anchor distT="0" distB="0" distL="114300" distR="114300" simplePos="0" relativeHeight="251659264" behindDoc="0" locked="0" layoutInCell="1" allowOverlap="0" wp14:anchorId="07A6046A" wp14:editId="070408A3">
            <wp:simplePos x="0" y="0"/>
            <wp:positionH relativeFrom="column">
              <wp:posOffset>5420678</wp:posOffset>
            </wp:positionH>
            <wp:positionV relativeFrom="paragraph">
              <wp:posOffset>-487064</wp:posOffset>
            </wp:positionV>
            <wp:extent cx="1238250" cy="123825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238250" cy="1238250"/>
                    </a:xfrm>
                    <a:prstGeom prst="rect">
                      <a:avLst/>
                    </a:prstGeom>
                  </pic:spPr>
                </pic:pic>
              </a:graphicData>
            </a:graphic>
          </wp:anchor>
        </w:drawing>
      </w:r>
      <w:r>
        <w:t>T.C.</w:t>
      </w:r>
    </w:p>
    <w:p w14:paraId="0905260F" w14:textId="77777777" w:rsidR="00E96823" w:rsidRDefault="006C6A2A">
      <w:pPr>
        <w:pStyle w:val="Balk1"/>
        <w:spacing w:after="336"/>
        <w:ind w:left="10"/>
      </w:pPr>
      <w:r>
        <w:t>TİCARET BAKANLIĞI İç Ticaret Genel Müdürlüğü</w:t>
      </w:r>
    </w:p>
    <w:p w14:paraId="2591BCCE" w14:textId="77777777" w:rsidR="00E96823" w:rsidRDefault="006C6A2A">
      <w:pPr>
        <w:tabs>
          <w:tab w:val="center" w:pos="2316"/>
        </w:tabs>
        <w:spacing w:after="52"/>
        <w:ind w:left="-15" w:firstLine="0"/>
        <w:jc w:val="left"/>
      </w:pPr>
      <w:r>
        <w:t>Sayı</w:t>
      </w:r>
      <w:r>
        <w:tab/>
        <w:t>: E-70897689-439.99-00109662172</w:t>
      </w:r>
    </w:p>
    <w:p w14:paraId="6304FCE1" w14:textId="77777777" w:rsidR="00E96823" w:rsidRDefault="006C6A2A">
      <w:pPr>
        <w:tabs>
          <w:tab w:val="center" w:pos="2545"/>
        </w:tabs>
        <w:spacing w:after="687"/>
        <w:ind w:left="-15" w:firstLine="0"/>
        <w:jc w:val="left"/>
      </w:pPr>
      <w:r>
        <w:t>Konu</w:t>
      </w:r>
      <w:r>
        <w:tab/>
        <w:t>: Anne Sütünün Satışı Hakkında Genelge</w:t>
      </w:r>
    </w:p>
    <w:p w14:paraId="51663FF8" w14:textId="77777777" w:rsidR="00E96823" w:rsidRDefault="006C6A2A">
      <w:pPr>
        <w:pStyle w:val="Balk1"/>
        <w:spacing w:after="606"/>
        <w:ind w:left="10" w:right="1"/>
      </w:pPr>
      <w:r>
        <w:t>GENELGE (2025/1)</w:t>
      </w:r>
    </w:p>
    <w:p w14:paraId="5AB0ED13" w14:textId="77777777" w:rsidR="00E96823" w:rsidRDefault="006C6A2A">
      <w:pPr>
        <w:ind w:left="-15" w:firstLine="720"/>
      </w:pPr>
      <w:r>
        <w:t>Anne sütü sahip olduğu nitelikler nedeniyle hiçbir endüstriyel ürünle ikame edilemeyecek kadar özel bir yapıya sahip olup bu nitelikleri nedeniyle bireyler veya platformlar aracılığıyla zaman zaman ticari bir meta haline getirilmeye, alım-satıma konu edilm</w:t>
      </w:r>
      <w:r>
        <w:t>eye çalışılmaktadır.</w:t>
      </w:r>
    </w:p>
    <w:p w14:paraId="5083E5E4" w14:textId="77777777" w:rsidR="00E96823" w:rsidRDefault="006C6A2A">
      <w:pPr>
        <w:ind w:left="-15" w:firstLine="720"/>
      </w:pPr>
      <w:r>
        <w:t>Anne sütü, bireyin genel sağlık durumu, beslenme alışkanlıkları ve enfeksiyon geçmişiyle doğrudan ilişkilidir. Dolayısıyla, herhangi bir denetime tabi tutulmaksızın alım-satıma konu edilmesi, kamu sağlığını ciddi boyutlarda tehdit edec</w:t>
      </w:r>
      <w:r>
        <w:t>ek bulaşıcı hastalıkların yayılması ve aktarılması riskini barındırmaktadır.</w:t>
      </w:r>
    </w:p>
    <w:p w14:paraId="6F173C8F" w14:textId="77777777" w:rsidR="00E96823" w:rsidRDefault="006C6A2A">
      <w:pPr>
        <w:ind w:left="-15" w:firstLine="720"/>
      </w:pPr>
      <w:r>
        <w:t xml:space="preserve">Gıda güvenliği açısından değerlendirildiğinde taşınması ve saklanması hijyenik koşullarda yapılmayan sütlerin tüketilmesi </w:t>
      </w:r>
      <w:proofErr w:type="spellStart"/>
      <w:r>
        <w:t>yenidoğan</w:t>
      </w:r>
      <w:proofErr w:type="spellEnd"/>
      <w:r>
        <w:t xml:space="preserve"> ve bebeklerde ciddi sağlık sorunlarına yol açab</w:t>
      </w:r>
      <w:r>
        <w:t>ilecek ve doğrudan kamu sağlığını tehdit edebilecektir.</w:t>
      </w:r>
    </w:p>
    <w:p w14:paraId="697B26E5" w14:textId="77777777" w:rsidR="00E96823" w:rsidRDefault="006C6A2A">
      <w:pPr>
        <w:ind w:left="-15" w:firstLine="720"/>
      </w:pPr>
      <w:r>
        <w:t xml:space="preserve">Anne sütü yalnızca biyolojik değil manevi bir değere de sahiptir. Bu nedenle, anne sütünün ticari bir </w:t>
      </w:r>
      <w:proofErr w:type="spellStart"/>
      <w:r>
        <w:t>metaya</w:t>
      </w:r>
      <w:proofErr w:type="spellEnd"/>
      <w:r>
        <w:t xml:space="preserve"> dönüştürülmesi yalnızca sağlık açısından değil etik ve ahlaki açıdan da sakıncalar barındır</w:t>
      </w:r>
      <w:r>
        <w:t>maktadır.</w:t>
      </w:r>
    </w:p>
    <w:p w14:paraId="348FFD3A" w14:textId="77777777" w:rsidR="00E96823" w:rsidRDefault="006C6A2A">
      <w:pPr>
        <w:ind w:left="730"/>
      </w:pPr>
      <w:r>
        <w:t>Bu kapsamda, anne sütünün ticari faaliyete konu edilmesinin önlenmesi zaruridir.</w:t>
      </w:r>
    </w:p>
    <w:p w14:paraId="12F27257" w14:textId="77777777" w:rsidR="00E96823" w:rsidRDefault="006C6A2A">
      <w:pPr>
        <w:ind w:left="-15" w:firstLine="72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0CC1C8C" wp14:editId="716FFDB3">
                <wp:simplePos x="0" y="0"/>
                <wp:positionH relativeFrom="page">
                  <wp:posOffset>538163</wp:posOffset>
                </wp:positionH>
                <wp:positionV relativeFrom="page">
                  <wp:posOffset>9842601</wp:posOffset>
                </wp:positionV>
                <wp:extent cx="6445886" cy="9525"/>
                <wp:effectExtent l="0" t="0" r="0" b="0"/>
                <wp:wrapTopAndBottom/>
                <wp:docPr id="2695" name="Group 2695"/>
                <wp:cNvGraphicFramePr/>
                <a:graphic xmlns:a="http://schemas.openxmlformats.org/drawingml/2006/main">
                  <a:graphicData uri="http://schemas.microsoft.com/office/word/2010/wordprocessingGroup">
                    <wpg:wgp>
                      <wpg:cNvGrpSpPr/>
                      <wpg:grpSpPr>
                        <a:xfrm>
                          <a:off x="0" y="0"/>
                          <a:ext cx="6445886" cy="9525"/>
                          <a:chOff x="0" y="0"/>
                          <a:chExt cx="6445886" cy="9525"/>
                        </a:xfrm>
                      </wpg:grpSpPr>
                      <wps:wsp>
                        <wps:cNvPr id="6" name="Shape 6"/>
                        <wps:cNvSpPr/>
                        <wps:spPr>
                          <a:xfrm>
                            <a:off x="0" y="4763"/>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293" name="Shape 3293"/>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4" name="Shape 3294"/>
                        <wps:cNvSpPr/>
                        <wps:spPr>
                          <a:xfrm>
                            <a:off x="35242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5" name="Shape 3295"/>
                        <wps:cNvSpPr/>
                        <wps:spPr>
                          <a:xfrm>
                            <a:off x="572476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6" name="Shape 3296"/>
                        <wps:cNvSpPr/>
                        <wps:spPr>
                          <a:xfrm>
                            <a:off x="643636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5" style="width:507.55pt;height:0.75pt;position:absolute;mso-position-horizontal-relative:page;mso-position-horizontal:absolute;margin-left:42.375pt;mso-position-vertical-relative:page;margin-top:775.008pt;" coordsize="64458,95">
                <v:shape id="Shape 6" style="position:absolute;width:64363;height:0;left:0;top:47;" coordsize="6436361,0" path="m0,0l6436361,0">
                  <v:stroke weight="0.75pt" endcap="flat" joinstyle="miter" miterlimit="10" on="true" color="#000000"/>
                  <v:fill on="false" color="#000000" opacity="0"/>
                </v:shape>
                <v:shape id="Shape 3297" style="position:absolute;width:95;height:95;left:0;top:0;" coordsize="9525,9525" path="m0,0l9525,0l9525,9525l0,9525l0,0">
                  <v:stroke weight="0pt" endcap="flat" joinstyle="miter" miterlimit="10" on="false" color="#000000" opacity="0"/>
                  <v:fill on="true" color="#000000"/>
                </v:shape>
                <v:shape id="Shape 3298" style="position:absolute;width:95;height:95;left:35242;top:0;" coordsize="9525,9525" path="m0,0l9525,0l9525,9525l0,9525l0,0">
                  <v:stroke weight="0pt" endcap="flat" joinstyle="miter" miterlimit="10" on="false" color="#000000" opacity="0"/>
                  <v:fill on="true" color="#000000"/>
                </v:shape>
                <v:shape id="Shape 3299" style="position:absolute;width:95;height:95;left:57247;top:0;" coordsize="9525,9525" path="m0,0l9525,0l9525,9525l0,9525l0,0">
                  <v:stroke weight="0pt" endcap="flat" joinstyle="miter" miterlimit="10" on="false" color="#000000" opacity="0"/>
                  <v:fill on="true" color="#000000"/>
                </v:shape>
                <v:shape id="Shape 3300" style="position:absolute;width:95;height:95;left:64363;top:0;" coordsize="9525,9525" path="m0,0l9525,0l9525,9525l0,9525l0,0">
                  <v:stroke weight="0pt" endcap="flat" joinstyle="miter" miterlimit="10" on="false" color="#000000" opacity="0"/>
                  <v:fill on="true" color="#000000"/>
                </v:shape>
                <w10:wrap type="topAndBottom"/>
              </v:group>
            </w:pict>
          </mc:Fallback>
        </mc:AlternateContent>
      </w:r>
      <w:r>
        <w:t>23/10/2014 tarihli ve 6563 sayılı Elektronik Ticaretin Düzenlenmesi Hakkında Kanunun 11 inci maddesinin birinci fıkrasında Bakanlığımızın, Kanunun uygulanmasını sağ</w:t>
      </w:r>
      <w:r>
        <w:t>lamaya, hizmet sağlayıcı ve aracı hizmet sağlayıcıların faaliyetlerine yönelik düzenleme yapmaya yetkili olduğu hükme bağlanmıştır. Bununla birlikte, 14/01/2015 tarihli ve 6585 sayılı Perakende Ticaretin Düzenlenmesi Hakkında Kanunun 1 inci maddesinin biri</w:t>
      </w:r>
      <w:r>
        <w:t xml:space="preserve">nci fıkrasında, tüketicilerin korunması Kanunun amaçları arasında sayılmış; </w:t>
      </w:r>
      <w:proofErr w:type="gramStart"/>
      <w:r>
        <w:t xml:space="preserve">16 </w:t>
      </w:r>
      <w:proofErr w:type="spellStart"/>
      <w:r>
        <w:t>ncı</w:t>
      </w:r>
      <w:proofErr w:type="spellEnd"/>
      <w:proofErr w:type="gramEnd"/>
      <w:r>
        <w:t xml:space="preserve"> maddesinin birinci fıkrasının (ç) bendinde ise Bakanlığımızın, Kanunun uygulanmasıyla ilgili olarak oluşan tereddütleri gidermeye, ikincil düzenlemeler yapmaya ve her türlü </w:t>
      </w:r>
      <w:r>
        <w:t>idari tedbiri almaya görevli ve yetkili olduğu hükme bağlanmıştır.</w:t>
      </w:r>
    </w:p>
    <w:p w14:paraId="7A192607" w14:textId="77777777" w:rsidR="00E96823" w:rsidRDefault="006C6A2A">
      <w:pPr>
        <w:ind w:left="-15" w:firstLine="708"/>
      </w:pPr>
      <w:r>
        <w:t>Bu itibarla, perakende ve elektronik ticarette anne sütü satışına yönelik gerekli tedbirlerin alınmasına ilişkin olarak, 6563 sayılı Kanunun 11 inci maddesinin birinci fıkrası ve 6585 sayıl</w:t>
      </w:r>
      <w:r>
        <w:t xml:space="preserve">ı Kanunun 1 inci maddesinin birinci fıkrası ile 16 </w:t>
      </w:r>
      <w:proofErr w:type="spellStart"/>
      <w:r>
        <w:t>ncı</w:t>
      </w:r>
      <w:proofErr w:type="spellEnd"/>
      <w:r>
        <w:t xml:space="preserve"> maddesinin birinci fıkrasının (ç) bendi kapsamında, </w:t>
      </w:r>
      <w:r>
        <w:rPr>
          <w:i/>
          <w:u w:val="single" w:color="000000"/>
        </w:rPr>
        <w:t>elektronik ortamda yapılanlar dahil olmak üzere anne sütünün satışa sunulması; elektronik ortamdaki yorum ve forum gibi alanlarda yapılanlar dahil ol</w:t>
      </w:r>
      <w:r>
        <w:rPr>
          <w:i/>
          <w:u w:val="single" w:color="000000"/>
        </w:rPr>
        <w:t>mak üzere, anne sütünün alış, satış, ilan veya tanıtımına elektronik ortam sağlanması ve aracılık edilmesi yasaklanmıştır</w:t>
      </w:r>
      <w:r>
        <w:t>.</w:t>
      </w:r>
    </w:p>
    <w:p w14:paraId="31D4E41D" w14:textId="77777777" w:rsidR="00E96823" w:rsidRDefault="006C6A2A">
      <w:pPr>
        <w:ind w:left="-15" w:firstLine="708"/>
      </w:pPr>
      <w:r>
        <w:t>Bu yasağa aykırı fiillerin tespiti hâlinde ilgililer hakkında 6563 sayılı Kanun ve 6585 sayılı Kanun kapsamında idari yaptırım uygula</w:t>
      </w:r>
      <w:r>
        <w:t>nacaktır.</w:t>
      </w:r>
    </w:p>
    <w:p w14:paraId="4F3FF2E4" w14:textId="77777777" w:rsidR="00E96823" w:rsidRDefault="006C6A2A">
      <w:pPr>
        <w:spacing w:after="511"/>
        <w:ind w:left="718"/>
      </w:pPr>
      <w:r>
        <w:t>Bilgilerinizi ve gereğini rica ederim.</w:t>
      </w:r>
    </w:p>
    <w:p w14:paraId="6356042B" w14:textId="77777777" w:rsidR="00E96823" w:rsidRDefault="006C6A2A">
      <w:pPr>
        <w:ind w:left="6943"/>
      </w:pPr>
      <w:r>
        <w:t>Mahmut GÜRCAN</w:t>
      </w:r>
    </w:p>
    <w:p w14:paraId="75EAE2AC" w14:textId="77777777" w:rsidR="00E96823" w:rsidRDefault="006C6A2A">
      <w:pPr>
        <w:ind w:left="7423"/>
      </w:pPr>
      <w:r>
        <w:t>Bakan a.</w:t>
      </w:r>
    </w:p>
    <w:p w14:paraId="4F06E6C1" w14:textId="77777777" w:rsidR="00E96823" w:rsidRDefault="006C6A2A">
      <w:pPr>
        <w:spacing w:after="231"/>
        <w:ind w:left="7022"/>
      </w:pPr>
      <w:r>
        <w:t>Bakan Yardımcısı</w:t>
      </w:r>
    </w:p>
    <w:p w14:paraId="56CF6722" w14:textId="77777777" w:rsidR="00E96823" w:rsidRDefault="006C6A2A">
      <w:pPr>
        <w:spacing w:after="37"/>
        <w:ind w:left="115"/>
      </w:pPr>
      <w:r>
        <w:t>Dağıtım:</w:t>
      </w:r>
    </w:p>
    <w:p w14:paraId="6DB46834" w14:textId="77777777" w:rsidR="00E96823" w:rsidRDefault="006C6A2A">
      <w:pPr>
        <w:spacing w:after="997"/>
        <w:ind w:left="115"/>
      </w:pPr>
      <w:r>
        <w:t>81 İl Valiliği (Ticaret İl Müdürlüğü)</w:t>
      </w:r>
    </w:p>
    <w:sectPr w:rsidR="00E96823">
      <w:pgSz w:w="11906" w:h="16838"/>
      <w:pgMar w:top="1440" w:right="855" w:bottom="1440"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23"/>
    <w:rsid w:val="006C6A2A"/>
    <w:rsid w:val="00E96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B4F0"/>
  <w15:docId w15:val="{873DC8F2-99B8-46EE-87E9-2E8B20C8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2"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40" w:line="265" w:lineRule="auto"/>
      <w:ind w:left="12" w:hanging="10"/>
      <w:jc w:val="center"/>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2025-06-18T11:58:00Z</dcterms:created>
  <dcterms:modified xsi:type="dcterms:W3CDTF">2025-06-18T11:58:00Z</dcterms:modified>
</cp:coreProperties>
</file>