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F703C" w14:textId="77777777" w:rsidR="002836BD" w:rsidRDefault="00C03EB2">
      <w:pPr>
        <w:spacing w:after="44"/>
        <w:jc w:val="center"/>
      </w:pPr>
      <w:r>
        <w:t>T.C.</w:t>
      </w:r>
    </w:p>
    <w:p w14:paraId="14B1AC34" w14:textId="77777777" w:rsidR="002836BD" w:rsidRDefault="00C03EB2">
      <w:pPr>
        <w:spacing w:after="44"/>
        <w:jc w:val="center"/>
      </w:pPr>
      <w:r>
        <w:t>TİCARET BAKANLIĞI</w:t>
      </w:r>
    </w:p>
    <w:p w14:paraId="7F280AD9" w14:textId="77777777" w:rsidR="002836BD" w:rsidRDefault="00C03EB2">
      <w:pPr>
        <w:spacing w:after="954"/>
        <w:jc w:val="center"/>
      </w:pPr>
      <w:r>
        <w:t>Uluslararası Hizmet Ticareti Genel Müdürlüğü</w:t>
      </w:r>
    </w:p>
    <w:p w14:paraId="3E351D5E" w14:textId="656214A2" w:rsidR="002836BD" w:rsidRDefault="00C03EB2">
      <w:pPr>
        <w:tabs>
          <w:tab w:val="center" w:pos="868"/>
          <w:tab w:val="center" w:pos="3260"/>
        </w:tabs>
        <w:spacing w:after="3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14:paraId="16B486C7" w14:textId="77777777" w:rsidR="002836BD" w:rsidRDefault="00C03EB2">
      <w:pPr>
        <w:ind w:left="650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Etiyopya/ Özel Ekonomik Bölge Tebliğinin</w:t>
      </w:r>
    </w:p>
    <w:p w14:paraId="26A33BCA" w14:textId="77777777" w:rsidR="002836BD" w:rsidRDefault="00C03EB2">
      <w:pPr>
        <w:spacing w:after="714"/>
        <w:ind w:left="1546"/>
      </w:pPr>
      <w:r>
        <w:t>Tadili</w:t>
      </w:r>
    </w:p>
    <w:p w14:paraId="5F397066" w14:textId="77777777" w:rsidR="002836BD" w:rsidRDefault="00C03EB2">
      <w:pPr>
        <w:spacing w:after="639"/>
        <w:ind w:left="665"/>
        <w:jc w:val="center"/>
      </w:pPr>
      <w:r>
        <w:t>DAĞITIM YERLERİNE</w:t>
      </w:r>
    </w:p>
    <w:p w14:paraId="3999E5DA" w14:textId="77777777" w:rsidR="002836BD" w:rsidRDefault="00C03EB2">
      <w:pPr>
        <w:ind w:left="640" w:firstLine="733"/>
      </w:pPr>
      <w:r>
        <w:t xml:space="preserve">Etiyopya'nın Ankara Büyükelçiliği'nden alınan nota ve ekinde yer alan bilgilendirici dokümanda, Etiyopya Hükümeti tarafından Özel Ekonomik Bölge (ÖEB) Tebliği'nin (Special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Proclamation</w:t>
      </w:r>
      <w:proofErr w:type="spellEnd"/>
      <w:r>
        <w:t xml:space="preserve"> No. 1322/2024) değiştirildiği belirtilmekte olup, yapılan</w:t>
      </w:r>
      <w:r>
        <w:t xml:space="preserve"> değişiklikle imalat, tarım, ticaret, hizmetler ve diğer sektörlerde özel sektör yatırımlarının arttırılması, istihdam ve ithal ikamesi olanaklarının geliştirilmesi, sürdürülebilir ekonomik büyümenin sağlanması gibi hedeflere ulaşılmasının amaçlandığı beli</w:t>
      </w:r>
      <w:r>
        <w:t>rtilmektedir.</w:t>
      </w:r>
    </w:p>
    <w:p w14:paraId="6013AC24" w14:textId="77777777" w:rsidR="002836BD" w:rsidRDefault="00C03EB2">
      <w:pPr>
        <w:ind w:left="640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49750D" wp14:editId="6C1C2360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E8607CC" wp14:editId="46E5E291">
            <wp:simplePos x="0" y="0"/>
            <wp:positionH relativeFrom="page">
              <wp:posOffset>6030278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Öte yandan, yapılan değişikliklerle birlikte, </w:t>
      </w:r>
      <w:proofErr w:type="spellStart"/>
      <w:r>
        <w:t>ÖEB'de</w:t>
      </w:r>
      <w:proofErr w:type="spellEnd"/>
      <w:r>
        <w:t xml:space="preserve"> geliştirici, işletmeci ve yatırımcı şirketlerin gümrük vergisi ve diğer vergilerden muafiyetin yanı sıra diğer teşviklerden de yararlanabileceği belirtilmekte olup; bu teşvikler kapsamınd</w:t>
      </w:r>
      <w:r>
        <w:t xml:space="preserve">a, ÖEB yatırım iznine sahip olan geliştirici ve işletmeciler için </w:t>
      </w:r>
      <w:proofErr w:type="spellStart"/>
      <w:r>
        <w:t>ÖEB'ye</w:t>
      </w:r>
      <w:proofErr w:type="spellEnd"/>
      <w:r>
        <w:t xml:space="preserve"> ve </w:t>
      </w:r>
      <w:proofErr w:type="spellStart"/>
      <w:r>
        <w:t>ÖEB'den</w:t>
      </w:r>
      <w:proofErr w:type="spellEnd"/>
      <w:r>
        <w:t xml:space="preserve"> yapılan mal ithalat ve ihracatında her türlü vergi ve harçtan tam muafiyet sağlanacağı, gümrük bölgesinden </w:t>
      </w:r>
      <w:proofErr w:type="spellStart"/>
      <w:r>
        <w:t>ÖEB'ye</w:t>
      </w:r>
      <w:proofErr w:type="spellEnd"/>
      <w:r>
        <w:t xml:space="preserve"> giren mal ve hizmetler için sıfır oranlı KDV uygulanacağı </w:t>
      </w:r>
      <w:r>
        <w:t xml:space="preserve">ve dolaylı vergilerden muafiyetin mümkün olabileceği, hissedarlara dağıtılan temettülerin gelir vergisinden muaf tutulacağı, </w:t>
      </w:r>
      <w:proofErr w:type="spellStart"/>
      <w:r>
        <w:t>ÖEB’ye</w:t>
      </w:r>
      <w:proofErr w:type="spellEnd"/>
      <w:r>
        <w:t xml:space="preserve"> ithal edilen sermaye mallarına ilişkin vergi ve harçlardan muafiyet sağlanabileceği gibi çeşitli teşviklerden yararlanılması</w:t>
      </w:r>
      <w:r>
        <w:t>nın mümkün olduğu belirtilmektedir.</w:t>
      </w:r>
    </w:p>
    <w:p w14:paraId="6DBFDA03" w14:textId="77777777" w:rsidR="002836BD" w:rsidRDefault="00C03EB2">
      <w:pPr>
        <w:ind w:left="640" w:firstLine="708"/>
      </w:pPr>
      <w:r>
        <w:t xml:space="preserve">İlaveten, </w:t>
      </w:r>
      <w:proofErr w:type="spellStart"/>
      <w:r>
        <w:t>ÖEB’deki</w:t>
      </w:r>
      <w:proofErr w:type="spellEnd"/>
      <w:r>
        <w:t xml:space="preserve"> bir şirketle ilişkisi olan bir yabancı çalışanın veya yabancı yatırımcının kişisel </w:t>
      </w:r>
      <w:proofErr w:type="gramStart"/>
      <w:r>
        <w:t>mallarının</w:t>
      </w:r>
      <w:proofErr w:type="gramEnd"/>
      <w:r>
        <w:t xml:space="preserve"> Etiyopya’ya ithalatında gümrük vergisinden ve harçlardan muaf tutulacağı hususuna da sağlanacak avantajlar </w:t>
      </w:r>
      <w:r>
        <w:t>arasında yer verilmektedir. Söz konusu bilgilendirici doküman yazımız ekinde yer almaktadır.</w:t>
      </w:r>
    </w:p>
    <w:p w14:paraId="741B855F" w14:textId="77777777" w:rsidR="002836BD" w:rsidRDefault="00C03EB2">
      <w:pPr>
        <w:spacing w:after="832"/>
        <w:ind w:left="640" w:firstLine="720"/>
      </w:pPr>
      <w:r>
        <w:t>Bilgilerini ve konunun ilgilenebilecek Kuruluşunuz üyesi firmalara duyurulması hususunda gereğini rica ederim.</w:t>
      </w:r>
    </w:p>
    <w:p w14:paraId="5ED87716" w14:textId="77777777" w:rsidR="002836BD" w:rsidRDefault="00C03EB2">
      <w:pPr>
        <w:spacing w:after="4"/>
        <w:ind w:left="7720" w:right="935"/>
        <w:jc w:val="center"/>
      </w:pPr>
      <w:r>
        <w:t>Gülşah KOÇAK Bakan a.</w:t>
      </w:r>
    </w:p>
    <w:p w14:paraId="315D5E49" w14:textId="77777777" w:rsidR="002836BD" w:rsidRDefault="00C03EB2">
      <w:pPr>
        <w:spacing w:after="839" w:line="259" w:lineRule="auto"/>
        <w:ind w:left="0" w:right="1356" w:firstLine="0"/>
        <w:jc w:val="right"/>
      </w:pPr>
      <w:r>
        <w:t>Daire Başkanı</w:t>
      </w:r>
    </w:p>
    <w:p w14:paraId="65F6E172" w14:textId="77777777" w:rsidR="002836BD" w:rsidRDefault="00C03EB2">
      <w:pPr>
        <w:spacing w:after="1219"/>
        <w:ind w:left="650"/>
      </w:pPr>
      <w:r>
        <w:t xml:space="preserve">Ek: </w:t>
      </w:r>
      <w:r>
        <w:t>Bilgilendirici Doküman</w:t>
      </w:r>
    </w:p>
    <w:p w14:paraId="4B33C4D4" w14:textId="1285E01A" w:rsidR="002836BD" w:rsidRDefault="002836BD">
      <w:pPr>
        <w:spacing w:after="74" w:line="259" w:lineRule="auto"/>
        <w:ind w:left="648" w:firstLine="0"/>
        <w:jc w:val="left"/>
      </w:pPr>
    </w:p>
    <w:sectPr w:rsidR="002836BD">
      <w:pgSz w:w="11906" w:h="16838"/>
      <w:pgMar w:top="1440" w:right="855" w:bottom="286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BD"/>
    <w:rsid w:val="002836BD"/>
    <w:rsid w:val="00C0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D17E"/>
  <w15:docId w15:val="{FE1FDB3C-4829-493B-9E22-3C3B956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5" w:lineRule="auto"/>
      <w:ind w:left="3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2025-05-22T11:55:00Z</dcterms:created>
  <dcterms:modified xsi:type="dcterms:W3CDTF">2025-05-22T11:55:00Z</dcterms:modified>
</cp:coreProperties>
</file>